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黑体_GBK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专精特新小巨人申报条件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黑体_GBK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  <w:lang w:val="en-US" w:eastAsia="zh-CN"/>
        </w:rPr>
        <w:t>根据《关于组织开展2019年省级专精特新小巨人企业申报推荐工作的通知》要求，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申报企业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在江苏境内注册</w:t>
      </w:r>
      <w:r>
        <w:rPr>
          <w:rFonts w:ascii="Times New Roman" w:hAnsi="Times New Roman" w:eastAsia="方正仿宋_GBK"/>
          <w:b/>
          <w:bCs/>
          <w:color w:val="000000"/>
          <w:sz w:val="32"/>
          <w:szCs w:val="32"/>
        </w:rPr>
        <w:t>，具有独立法人资格，经营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和</w:t>
      </w:r>
      <w:r>
        <w:rPr>
          <w:rFonts w:ascii="Times New Roman" w:hAnsi="Times New Roman" w:eastAsia="方正仿宋_GBK"/>
          <w:b/>
          <w:bCs/>
          <w:color w:val="000000"/>
          <w:sz w:val="32"/>
          <w:szCs w:val="32"/>
        </w:rPr>
        <w:t>信用状况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良好。</w:t>
      </w:r>
      <w:r>
        <w:rPr>
          <w:rFonts w:ascii="Times New Roman" w:hAnsi="Times New Roman" w:eastAsia="方正仿宋_GBK"/>
          <w:b/>
          <w:bCs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类别和</w:t>
      </w:r>
      <w:r>
        <w:rPr>
          <w:rFonts w:ascii="Times New Roman" w:hAnsi="Times New Roman" w:eastAsia="方正仿宋_GBK"/>
          <w:b/>
          <w:bCs/>
          <w:color w:val="000000"/>
          <w:sz w:val="32"/>
          <w:szCs w:val="32"/>
        </w:rPr>
        <w:t>条件如下：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楷体_GBK"/>
          <w:b/>
          <w:bCs/>
          <w:sz w:val="32"/>
          <w:szCs w:val="32"/>
        </w:rPr>
      </w:pPr>
      <w:r>
        <w:rPr>
          <w:rFonts w:ascii="Times New Roman" w:hAnsi="Times New Roman" w:eastAsia="方正楷体_GBK"/>
          <w:b/>
          <w:bCs/>
          <w:sz w:val="32"/>
          <w:szCs w:val="32"/>
        </w:rPr>
        <w:t>（一）专精特新产品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申报产品的销售收入占企业主营业务收入的60%以上，拥有2项发明（或实用新型）专利或具有专有技术，关键性能指标处于同类产品领先水平，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产品</w:t>
      </w:r>
      <w:r>
        <w:rPr>
          <w:rFonts w:ascii="Times New Roman" w:hAnsi="Times New Roman" w:eastAsia="方正仿宋_GBK"/>
          <w:b/>
          <w:bCs/>
          <w:sz w:val="32"/>
          <w:szCs w:val="32"/>
        </w:rPr>
        <w:t>的市场占有率位居国内前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十</w:t>
      </w:r>
      <w:r>
        <w:rPr>
          <w:rFonts w:ascii="Times New Roman" w:hAnsi="Times New Roman" w:eastAsia="方正仿宋_GBK"/>
          <w:b/>
          <w:bCs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楷体_GBK"/>
          <w:b/>
          <w:bCs/>
          <w:sz w:val="32"/>
          <w:szCs w:val="32"/>
        </w:rPr>
      </w:pPr>
      <w:r>
        <w:rPr>
          <w:rFonts w:ascii="Times New Roman" w:hAnsi="Times New Roman" w:eastAsia="方正楷体_GBK"/>
          <w:b/>
          <w:bCs/>
          <w:sz w:val="32"/>
          <w:szCs w:val="32"/>
        </w:rPr>
        <w:t>（二）小巨人企业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sz w:val="32"/>
          <w:szCs w:val="32"/>
        </w:rPr>
        <w:t>1.制造类</w:t>
      </w:r>
      <w:r>
        <w:rPr>
          <w:rFonts w:ascii="Times New Roman" w:hAnsi="Times New Roman" w:eastAsia="方正楷体_GBK"/>
          <w:b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/>
          <w:bCs/>
          <w:sz w:val="32"/>
          <w:szCs w:val="32"/>
        </w:rPr>
        <w:t>上年度主营业务收入5000万元以上（含5000万元），或利税总额800万元以上（含800万元）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/>
          <w:bCs/>
          <w:sz w:val="32"/>
          <w:szCs w:val="32"/>
        </w:rPr>
        <w:t>主导产品（服务）市场占有率位居国内同行业前五位；近3年营业收入平均增长率10%以上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或</w:t>
      </w:r>
      <w:r>
        <w:rPr>
          <w:rFonts w:ascii="Times New Roman" w:hAnsi="Times New Roman" w:eastAsia="方正仿宋_GBK"/>
          <w:b/>
          <w:bCs/>
          <w:sz w:val="32"/>
          <w:szCs w:val="32"/>
        </w:rPr>
        <w:t>平均营业利润率10%以上；生产技术、工艺及产品质量性能国内领先，建立市级以上研发机构，研究开发费用占销售收入的比重不低于3%。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sz w:val="32"/>
          <w:szCs w:val="32"/>
        </w:rPr>
        <w:t>2.创新类</w:t>
      </w:r>
      <w:r>
        <w:rPr>
          <w:rFonts w:ascii="Times New Roman" w:hAnsi="Times New Roman" w:eastAsia="方正楷体_GBK"/>
          <w:b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/>
          <w:bCs/>
          <w:sz w:val="32"/>
          <w:szCs w:val="32"/>
        </w:rPr>
        <w:t>2015年（包括2015年）后成立的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四新模式</w:t>
      </w:r>
      <w:r>
        <w:rPr>
          <w:rFonts w:ascii="Times New Roman" w:hAnsi="Times New Roman" w:eastAsia="方正仿宋_GBK"/>
          <w:b/>
          <w:bCs/>
          <w:sz w:val="32"/>
          <w:szCs w:val="32"/>
        </w:rPr>
        <w:t>（新技术、新产业、新业态、新模式）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创业创新</w:t>
      </w:r>
      <w:r>
        <w:rPr>
          <w:rFonts w:ascii="Times New Roman" w:hAnsi="Times New Roman" w:eastAsia="方正仿宋_GBK"/>
          <w:b/>
          <w:bCs/>
          <w:sz w:val="32"/>
          <w:szCs w:val="32"/>
        </w:rPr>
        <w:t>类企业，拥有原创技术或产品，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且</w:t>
      </w:r>
      <w:r>
        <w:rPr>
          <w:rFonts w:ascii="Times New Roman" w:hAnsi="Times New Roman" w:eastAsia="方正仿宋_GBK"/>
          <w:b/>
          <w:bCs/>
          <w:sz w:val="32"/>
          <w:szCs w:val="32"/>
        </w:rPr>
        <w:t>具有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高</w:t>
      </w:r>
      <w:r>
        <w:rPr>
          <w:rFonts w:ascii="Times New Roman" w:hAnsi="Times New Roman" w:eastAsia="方正仿宋_GBK"/>
          <w:b/>
          <w:bCs/>
          <w:sz w:val="32"/>
          <w:szCs w:val="32"/>
        </w:rPr>
        <w:t>成长潜力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/>
          <w:bCs/>
          <w:sz w:val="32"/>
          <w:szCs w:val="32"/>
        </w:rPr>
        <w:t>2021年企业销售收入预计达到5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0</w:t>
      </w:r>
      <w:r>
        <w:rPr>
          <w:rFonts w:ascii="Times New Roman" w:hAnsi="Times New Roman" w:eastAsia="方正仿宋_GBK"/>
          <w:b/>
          <w:bCs/>
          <w:sz w:val="32"/>
          <w:szCs w:val="32"/>
        </w:rPr>
        <w:t>00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万</w:t>
      </w:r>
      <w:r>
        <w:rPr>
          <w:rFonts w:ascii="Times New Roman" w:hAnsi="Times New Roman" w:eastAsia="方正仿宋_GBK"/>
          <w:b/>
          <w:bCs/>
          <w:sz w:val="32"/>
          <w:szCs w:val="32"/>
        </w:rPr>
        <w:t>元以上。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61505"/>
    <w:rsid w:val="63561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2020-08-05T07:13:00Z</dcterms:created>
  <dc:creator>Administrator</dc:creator>
  <cp:lastModifiedBy>Administrator</cp:lastModifiedBy>
  <dcterms:modified xsi:type="dcterms:W3CDTF">2020-08-05T07:14:17Z</dcterms:modified>
  <dc:title>专精特新小巨人申报条件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